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38" w:rsidRPr="00A575BA" w:rsidRDefault="00203E38" w:rsidP="00203E38">
      <w:pPr>
        <w:widowControl w:val="0"/>
        <w:adjustRightInd w:val="0"/>
        <w:snapToGrid w:val="0"/>
      </w:pPr>
      <w:r>
        <w:rPr>
          <w:b/>
          <w:bCs/>
          <w:lang w:eastAsia="zh-CN"/>
        </w:rPr>
        <w:t>Suppl 1</w:t>
      </w:r>
      <w:r w:rsidRPr="003B0E7D">
        <w:rPr>
          <w:bCs/>
          <w:lang w:eastAsia="zh-CN"/>
        </w:rPr>
        <w:t>. Literature Review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8" w:space="0" w:color="FFFFFF"/>
        </w:tblBorders>
        <w:tblLook w:val="04A0"/>
      </w:tblPr>
      <w:tblGrid>
        <w:gridCol w:w="246"/>
        <w:gridCol w:w="433"/>
        <w:gridCol w:w="434"/>
        <w:gridCol w:w="417"/>
        <w:gridCol w:w="356"/>
        <w:gridCol w:w="519"/>
        <w:gridCol w:w="400"/>
        <w:gridCol w:w="788"/>
        <w:gridCol w:w="509"/>
        <w:gridCol w:w="815"/>
        <w:gridCol w:w="710"/>
        <w:gridCol w:w="632"/>
        <w:gridCol w:w="611"/>
        <w:gridCol w:w="706"/>
        <w:gridCol w:w="415"/>
        <w:gridCol w:w="502"/>
        <w:gridCol w:w="625"/>
        <w:gridCol w:w="458"/>
      </w:tblGrid>
      <w:tr w:rsidR="00203E38" w:rsidRPr="00A575BA" w:rsidTr="00055F5E">
        <w:trPr>
          <w:cantSplit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Study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0100E0">
              <w:rPr>
                <w:b/>
                <w:bCs/>
                <w:sz w:val="14"/>
                <w:lang w:eastAsia="zh-CN"/>
              </w:rPr>
              <w:t>Number of cases</w:t>
            </w:r>
            <w:bookmarkStart w:id="0" w:name="_GoBack"/>
            <w:bookmarkEnd w:id="0"/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 xml:space="preserve">Median 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a</w:t>
            </w:r>
            <w:r w:rsidRPr="003B0E7D">
              <w:rPr>
                <w:b/>
                <w:bCs/>
                <w:sz w:val="14"/>
                <w:lang w:eastAsia="zh-CN"/>
              </w:rPr>
              <w:t>ge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M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/</w:t>
            </w:r>
            <w:r w:rsidRPr="003B0E7D">
              <w:rPr>
                <w:b/>
                <w:bCs/>
                <w:sz w:val="14"/>
                <w:lang w:eastAsia="zh-CN"/>
              </w:rPr>
              <w:t>F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 xml:space="preserve"> Associated 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m</w:t>
            </w:r>
            <w:r>
              <w:rPr>
                <w:b/>
                <w:bCs/>
                <w:sz w:val="14"/>
                <w:lang w:eastAsia="zh-CN"/>
              </w:rPr>
              <w:t>alignancy</w:t>
            </w:r>
            <w:r w:rsidRPr="003B0E7D">
              <w:rPr>
                <w:b/>
                <w:bCs/>
                <w:sz w:val="14"/>
                <w:lang w:eastAsia="zh-CN"/>
              </w:rPr>
              <w:t xml:space="preserve"> B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-</w:t>
            </w:r>
            <w:r w:rsidRPr="003B0E7D">
              <w:rPr>
                <w:b/>
                <w:bCs/>
                <w:sz w:val="14"/>
                <w:lang w:eastAsia="zh-CN"/>
              </w:rPr>
              <w:t>cell lymphoma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 xml:space="preserve"> </w:t>
            </w:r>
            <w:r w:rsidRPr="003B0E7D">
              <w:rPr>
                <w:b/>
                <w:bCs/>
                <w:sz w:val="14"/>
                <w:lang w:eastAsia="zh-CN"/>
              </w:rPr>
              <w:t>(n)/T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-</w:t>
            </w:r>
            <w:r w:rsidRPr="003B0E7D">
              <w:rPr>
                <w:b/>
                <w:bCs/>
                <w:sz w:val="14"/>
                <w:lang w:eastAsia="zh-CN"/>
              </w:rPr>
              <w:t>/NK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-</w:t>
            </w:r>
            <w:r w:rsidRPr="003B0E7D">
              <w:rPr>
                <w:b/>
                <w:bCs/>
                <w:sz w:val="14"/>
                <w:lang w:eastAsia="zh-CN"/>
              </w:rPr>
              <w:t>cell lymphoma (n)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 xml:space="preserve"> Fever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Hepatospleenomegaly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Cytopenias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Hypertriglyyceridemia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Hyperferretinemia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Hypofibrinogen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NK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-</w:t>
            </w:r>
            <w:r w:rsidRPr="003B0E7D">
              <w:rPr>
                <w:b/>
                <w:bCs/>
                <w:sz w:val="14"/>
                <w:lang w:eastAsia="zh-CN"/>
              </w:rPr>
              <w:t>cell activity/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s</w:t>
            </w:r>
            <w:r w:rsidRPr="003B0E7D">
              <w:rPr>
                <w:b/>
                <w:bCs/>
                <w:sz w:val="14"/>
                <w:lang w:eastAsia="zh-CN"/>
              </w:rPr>
              <w:t>oluble CD25/IL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-</w:t>
            </w:r>
            <w:r w:rsidRPr="003B0E7D">
              <w:rPr>
                <w:b/>
                <w:bCs/>
                <w:sz w:val="14"/>
                <w:lang w:eastAsia="zh-CN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Hemophagocytosis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EBV ISH +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 xml:space="preserve">NHL/HLH therapy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>Outcome/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s</w:t>
            </w:r>
            <w:r w:rsidRPr="003B0E7D">
              <w:rPr>
                <w:b/>
                <w:bCs/>
                <w:sz w:val="14"/>
                <w:lang w:eastAsia="zh-CN"/>
              </w:rPr>
              <w:t>tatus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b/>
                <w:bCs/>
                <w:sz w:val="14"/>
                <w:lang w:eastAsia="zh-CN"/>
              </w:rPr>
            </w:pPr>
            <w:r w:rsidRPr="003B0E7D">
              <w:rPr>
                <w:b/>
                <w:bCs/>
                <w:sz w:val="14"/>
                <w:lang w:eastAsia="zh-CN"/>
              </w:rPr>
              <w:t xml:space="preserve">Median </w:t>
            </w:r>
            <w:r>
              <w:rPr>
                <w:rFonts w:hint="eastAsia"/>
                <w:b/>
                <w:bCs/>
                <w:sz w:val="14"/>
                <w:lang w:eastAsia="zh-CN"/>
              </w:rPr>
              <w:t>s</w:t>
            </w:r>
            <w:r w:rsidRPr="003B0E7D">
              <w:rPr>
                <w:b/>
                <w:bCs/>
                <w:sz w:val="14"/>
                <w:lang w:eastAsia="zh-CN"/>
              </w:rPr>
              <w:t>urvival from   HLH diagnosis</w:t>
            </w:r>
          </w:p>
        </w:tc>
      </w:tr>
      <w:tr w:rsidR="00203E38" w:rsidRPr="00A575BA" w:rsidTr="00055F5E">
        <w:trPr>
          <w:cantSplit/>
        </w:trPr>
        <w:tc>
          <w:tcPr>
            <w:tcW w:w="157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B4706E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Han et al</w:t>
            </w:r>
            <w:r>
              <w:rPr>
                <w:rFonts w:hint="eastAsia"/>
                <w:sz w:val="14"/>
                <w:lang w:eastAsia="zh-CN"/>
              </w:rPr>
              <w:t>,</w:t>
            </w:r>
            <w:r w:rsidRPr="003B0E7D">
              <w:rPr>
                <w:sz w:val="14"/>
                <w:lang w:eastAsia="zh-CN"/>
              </w:rPr>
              <w:t xml:space="preserve"> 2007</w:t>
            </w:r>
            <w:r>
              <w:rPr>
                <w:rFonts w:hint="eastAsia"/>
                <w:sz w:val="14"/>
                <w:lang w:eastAsia="zh-CN"/>
              </w:rPr>
              <w:t xml:space="preserve"> [10]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46 ( 9</w:t>
            </w:r>
            <w:r>
              <w:rPr>
                <w:rFonts w:hint="eastAsia"/>
                <w:sz w:val="14"/>
                <w:lang w:eastAsia="zh-CN"/>
              </w:rPr>
              <w:t xml:space="preserve"> - </w:t>
            </w:r>
            <w:r w:rsidRPr="003B0E7D">
              <w:rPr>
                <w:sz w:val="14"/>
                <w:lang w:eastAsia="zh-CN"/>
              </w:rPr>
              <w:t>87)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16:13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5/24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29 (100%)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27 (93.1%)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25 (86.2%)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13 (92.9%)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15 (57.7%)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13 (68.4%)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CR (4), PR (3)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36 days</w:t>
            </w:r>
          </w:p>
        </w:tc>
      </w:tr>
      <w:tr w:rsidR="00203E38" w:rsidRPr="00A575BA" w:rsidTr="00055F5E">
        <w:trPr>
          <w:cantSplit/>
        </w:trPr>
        <w:tc>
          <w:tcPr>
            <w:tcW w:w="157" w:type="pct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B4706E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Jiang et al</w:t>
            </w:r>
            <w:r>
              <w:rPr>
                <w:rFonts w:hint="eastAsia"/>
                <w:sz w:val="14"/>
                <w:lang w:eastAsia="zh-CN"/>
              </w:rPr>
              <w:t>,</w:t>
            </w:r>
            <w:r w:rsidRPr="003B0E7D">
              <w:rPr>
                <w:sz w:val="14"/>
                <w:lang w:eastAsia="zh-CN"/>
              </w:rPr>
              <w:t xml:space="preserve"> 2016</w:t>
            </w:r>
            <w:r>
              <w:rPr>
                <w:rFonts w:hint="eastAsia"/>
                <w:sz w:val="14"/>
                <w:lang w:eastAsia="zh-CN"/>
              </w:rPr>
              <w:t xml:space="preserve"> [6]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44 (24.5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-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54.0)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28:13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B4706E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29</w:t>
            </w:r>
            <w:r>
              <w:rPr>
                <w:rFonts w:hint="eastAsia"/>
                <w:sz w:val="14"/>
                <w:lang w:eastAsia="zh-CN"/>
              </w:rPr>
              <w:t>/</w:t>
            </w:r>
            <w:r w:rsidRPr="003B0E7D">
              <w:rPr>
                <w:sz w:val="14"/>
                <w:lang w:eastAsia="zh-CN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41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(100%)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36 (87.8%)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40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(97.5%)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32 (78%)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 xml:space="preserve"> Dead (26)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120 days</w:t>
            </w:r>
          </w:p>
        </w:tc>
      </w:tr>
      <w:tr w:rsidR="00203E38" w:rsidRPr="00A575BA" w:rsidTr="00055F5E">
        <w:trPr>
          <w:cantSplit/>
        </w:trPr>
        <w:tc>
          <w:tcPr>
            <w:tcW w:w="157" w:type="pct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B4706E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Li et al</w:t>
            </w:r>
            <w:r>
              <w:rPr>
                <w:rFonts w:hint="eastAsia"/>
                <w:sz w:val="14"/>
                <w:lang w:eastAsia="zh-CN"/>
              </w:rPr>
              <w:t>,</w:t>
            </w:r>
            <w:r w:rsidRPr="003B0E7D">
              <w:rPr>
                <w:sz w:val="14"/>
                <w:lang w:eastAsia="zh-CN"/>
              </w:rPr>
              <w:t xml:space="preserve">  2014</w:t>
            </w:r>
            <w:r>
              <w:rPr>
                <w:rFonts w:hint="eastAsia"/>
                <w:sz w:val="14"/>
                <w:lang w:eastAsia="zh-CN"/>
              </w:rPr>
              <w:t xml:space="preserve"> [11]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48.5 (15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-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70)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10:6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1/15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16 (100%)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13 (81.3%)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16 (100%)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10 (62.5%)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16 (100%)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15 (93.8%)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9 (56.3%)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7 (43.8%)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13 (81%)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 xml:space="preserve">CR (1), PR (2), </w:t>
            </w:r>
            <w:r>
              <w:rPr>
                <w:rFonts w:hint="eastAsia"/>
                <w:sz w:val="14"/>
                <w:lang w:eastAsia="zh-CN"/>
              </w:rPr>
              <w:t>d</w:t>
            </w:r>
            <w:r w:rsidRPr="003B0E7D">
              <w:rPr>
                <w:sz w:val="14"/>
                <w:lang w:eastAsia="zh-CN"/>
              </w:rPr>
              <w:t>ead (15)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37 days</w:t>
            </w:r>
          </w:p>
        </w:tc>
      </w:tr>
      <w:tr w:rsidR="00203E38" w:rsidRPr="00A575BA" w:rsidTr="00055F5E">
        <w:trPr>
          <w:cantSplit/>
        </w:trPr>
        <w:tc>
          <w:tcPr>
            <w:tcW w:w="157" w:type="pct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B4706E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Yu et al</w:t>
            </w:r>
            <w:r>
              <w:rPr>
                <w:rFonts w:hint="eastAsia"/>
                <w:sz w:val="14"/>
                <w:lang w:eastAsia="zh-CN"/>
              </w:rPr>
              <w:t>,</w:t>
            </w:r>
            <w:r w:rsidRPr="003B0E7D">
              <w:rPr>
                <w:sz w:val="14"/>
                <w:lang w:eastAsia="zh-CN"/>
              </w:rPr>
              <w:t xml:space="preserve"> 2013</w:t>
            </w:r>
            <w:r>
              <w:rPr>
                <w:rFonts w:hint="eastAsia"/>
                <w:sz w:val="14"/>
                <w:lang w:eastAsia="zh-CN"/>
              </w:rPr>
              <w:t xml:space="preserve"> [8]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51 (21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-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77)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13:17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13/17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26 (86%)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24 (80%)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20 (66%)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9 (30%)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30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(100%)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CR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(9), PR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(2),</w:t>
            </w:r>
            <w:r>
              <w:rPr>
                <w:rFonts w:hint="eastAsia"/>
                <w:sz w:val="14"/>
                <w:lang w:eastAsia="zh-CN"/>
              </w:rPr>
              <w:t xml:space="preserve"> d</w:t>
            </w:r>
            <w:r w:rsidRPr="003B0E7D">
              <w:rPr>
                <w:sz w:val="14"/>
                <w:lang w:eastAsia="zh-CN"/>
              </w:rPr>
              <w:t xml:space="preserve">ead (23) 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 xml:space="preserve"> 231 days</w:t>
            </w:r>
          </w:p>
        </w:tc>
      </w:tr>
      <w:tr w:rsidR="00203E38" w:rsidRPr="00A575BA" w:rsidTr="00055F5E">
        <w:trPr>
          <w:cantSplit/>
        </w:trPr>
        <w:tc>
          <w:tcPr>
            <w:tcW w:w="157" w:type="pct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B4706E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Cattaneo et al</w:t>
            </w:r>
            <w:r>
              <w:rPr>
                <w:rFonts w:hint="eastAsia"/>
                <w:sz w:val="14"/>
                <w:lang w:eastAsia="zh-CN"/>
              </w:rPr>
              <w:t>,</w:t>
            </w:r>
            <w:r w:rsidRPr="003B0E7D">
              <w:rPr>
                <w:sz w:val="14"/>
                <w:lang w:eastAsia="zh-CN"/>
              </w:rPr>
              <w:t xml:space="preserve"> 2016</w:t>
            </w:r>
            <w:r>
              <w:rPr>
                <w:rFonts w:hint="eastAsia"/>
                <w:sz w:val="14"/>
                <w:lang w:eastAsia="zh-CN"/>
              </w:rPr>
              <w:t xml:space="preserve"> [9]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10/14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24 (100%)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10 (41%)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24 (100%)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CR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(9)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87 days</w:t>
            </w:r>
          </w:p>
        </w:tc>
      </w:tr>
      <w:tr w:rsidR="00203E38" w:rsidRPr="00A575BA" w:rsidTr="00055F5E">
        <w:trPr>
          <w:cantSplit/>
        </w:trPr>
        <w:tc>
          <w:tcPr>
            <w:tcW w:w="15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B4706E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Parikh et al</w:t>
            </w:r>
            <w:r>
              <w:rPr>
                <w:rFonts w:hint="eastAsia"/>
                <w:sz w:val="14"/>
                <w:lang w:eastAsia="zh-CN"/>
              </w:rPr>
              <w:t>,</w:t>
            </w:r>
            <w:r w:rsidRPr="003B0E7D">
              <w:rPr>
                <w:sz w:val="14"/>
                <w:lang w:eastAsia="zh-CN"/>
              </w:rPr>
              <w:t xml:space="preserve"> 2014</w:t>
            </w:r>
            <w:r>
              <w:rPr>
                <w:rFonts w:hint="eastAsia"/>
                <w:sz w:val="14"/>
                <w:lang w:eastAsia="zh-CN"/>
              </w:rPr>
              <w:t xml:space="preserve"> [7]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54 (18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-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87)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22:10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 xml:space="preserve">9/19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9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(43%)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25 (100%)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30</w:t>
            </w:r>
            <w:r>
              <w:rPr>
                <w:rFonts w:hint="eastAsia"/>
                <w:sz w:val="14"/>
                <w:lang w:eastAsia="zh-CN"/>
              </w:rPr>
              <w:t xml:space="preserve"> </w:t>
            </w:r>
            <w:r w:rsidRPr="003B0E7D">
              <w:rPr>
                <w:sz w:val="14"/>
                <w:lang w:eastAsia="zh-CN"/>
              </w:rPr>
              <w:t>(55%)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25 (84%)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NA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203E38" w:rsidRPr="003B0E7D" w:rsidRDefault="00203E38" w:rsidP="00055F5E">
            <w:pPr>
              <w:widowControl w:val="0"/>
              <w:adjustRightInd w:val="0"/>
              <w:snapToGrid w:val="0"/>
              <w:rPr>
                <w:sz w:val="14"/>
                <w:lang w:eastAsia="zh-CN"/>
              </w:rPr>
            </w:pPr>
            <w:r w:rsidRPr="003B0E7D">
              <w:rPr>
                <w:sz w:val="14"/>
                <w:lang w:eastAsia="zh-CN"/>
              </w:rPr>
              <w:t>42 days</w:t>
            </w:r>
          </w:p>
        </w:tc>
      </w:tr>
    </w:tbl>
    <w:p w:rsidR="00203E38" w:rsidRPr="00B4706E" w:rsidRDefault="00203E38" w:rsidP="00203E38">
      <w:pPr>
        <w:widowControl w:val="0"/>
        <w:adjustRightInd w:val="0"/>
        <w:snapToGrid w:val="0"/>
        <w:rPr>
          <w:lang w:eastAsia="zh-CN"/>
        </w:rPr>
      </w:pPr>
      <w:r w:rsidRPr="00A575BA">
        <w:rPr>
          <w:lang w:eastAsia="zh-CN"/>
        </w:rPr>
        <w:t>NA</w:t>
      </w:r>
      <w:r>
        <w:rPr>
          <w:rFonts w:hint="eastAsia"/>
          <w:lang w:eastAsia="zh-CN"/>
        </w:rPr>
        <w:t>:</w:t>
      </w:r>
      <w:r w:rsidRPr="00A575BA">
        <w:rPr>
          <w:lang w:eastAsia="zh-CN"/>
        </w:rPr>
        <w:t xml:space="preserve"> not available; CR</w:t>
      </w:r>
      <w:r>
        <w:rPr>
          <w:rFonts w:hint="eastAsia"/>
          <w:lang w:eastAsia="zh-CN"/>
        </w:rPr>
        <w:t>:</w:t>
      </w:r>
      <w:r w:rsidRPr="00A575BA">
        <w:rPr>
          <w:lang w:eastAsia="zh-CN"/>
        </w:rPr>
        <w:t xml:space="preserve"> complete remission; PR</w:t>
      </w:r>
      <w:r>
        <w:rPr>
          <w:rFonts w:hint="eastAsia"/>
          <w:lang w:eastAsia="zh-CN"/>
        </w:rPr>
        <w:t>:</w:t>
      </w:r>
      <w:r w:rsidRPr="00A575BA">
        <w:rPr>
          <w:lang w:eastAsia="zh-CN"/>
        </w:rPr>
        <w:t xml:space="preserve"> partial remission</w:t>
      </w:r>
      <w:r>
        <w:rPr>
          <w:rFonts w:hint="eastAsia"/>
          <w:lang w:eastAsia="zh-CN"/>
        </w:rPr>
        <w:t>.</w:t>
      </w:r>
    </w:p>
    <w:p w:rsidR="00203E38" w:rsidRDefault="00203E38" w:rsidP="00203E38">
      <w:pPr>
        <w:widowControl w:val="0"/>
        <w:adjustRightInd w:val="0"/>
        <w:snapToGrid w:val="0"/>
        <w:rPr>
          <w:lang w:eastAsia="zh-CN"/>
        </w:rPr>
      </w:pPr>
    </w:p>
    <w:p w:rsidR="00203E38" w:rsidRDefault="00203E38" w:rsidP="00203E38">
      <w:pPr>
        <w:widowControl w:val="0"/>
        <w:adjustRightInd w:val="0"/>
        <w:snapToGrid w:val="0"/>
        <w:rPr>
          <w:lang w:eastAsia="zh-CN"/>
        </w:rPr>
      </w:pPr>
    </w:p>
    <w:p w:rsidR="00203E38" w:rsidRPr="00A575BA" w:rsidRDefault="00203E38" w:rsidP="00203E38">
      <w:pPr>
        <w:widowControl w:val="0"/>
        <w:adjustRightInd w:val="0"/>
        <w:snapToGrid w:val="0"/>
      </w:pPr>
    </w:p>
    <w:p w:rsidR="00203E38" w:rsidRPr="00A575BA" w:rsidRDefault="00203E38" w:rsidP="00203E38">
      <w:pPr>
        <w:widowControl w:val="0"/>
        <w:adjustRightInd w:val="0"/>
        <w:snapToGrid w:val="0"/>
      </w:pPr>
    </w:p>
    <w:p w:rsidR="00203E38" w:rsidRPr="00E444A0" w:rsidRDefault="00203E38" w:rsidP="00203E38">
      <w:pPr>
        <w:pStyle w:val="Reference"/>
        <w:rPr>
          <w:lang w:val="en-US" w:eastAsia="zh-CN"/>
        </w:rPr>
      </w:pPr>
    </w:p>
    <w:p w:rsidR="00EF20E9" w:rsidRDefault="00EF20E9"/>
    <w:p w:rsidR="00E85E82" w:rsidRPr="001A0BFF" w:rsidRDefault="00E85E82" w:rsidP="00E85E82">
      <w:pPr>
        <w:pStyle w:val="Reference"/>
      </w:pPr>
      <w:r w:rsidRPr="001A0BFF">
        <w:t>6. Jiang T, Ding X, Lu W. The prognostic significance of Beta2 microglobulin in patients with hemophagocytic lymphohistiocytosis. Dis Markers. 2016;2016:1523959.</w:t>
      </w:r>
      <w:r w:rsidRPr="001A0BFF">
        <w:br/>
      </w:r>
      <w:r w:rsidRPr="001A0BFF">
        <w:lastRenderedPageBreak/>
        <w:t>doi:10.1155/2016/1523959</w:t>
      </w:r>
      <w:r w:rsidRPr="001A0BFF">
        <w:br/>
        <w:t xml:space="preserve">PubMed PMID:27110054 </w:t>
      </w:r>
    </w:p>
    <w:p w:rsidR="00E85E82" w:rsidRPr="001A0BFF" w:rsidRDefault="00E85E82" w:rsidP="00E85E82">
      <w:pPr>
        <w:pStyle w:val="Reference"/>
      </w:pPr>
    </w:p>
    <w:p w:rsidR="00E85E82" w:rsidRPr="001A0BFF" w:rsidRDefault="00E85E82" w:rsidP="00E85E82">
      <w:pPr>
        <w:pStyle w:val="Reference"/>
      </w:pPr>
      <w:r w:rsidRPr="001A0BFF">
        <w:t>7. Parikh SA, Kapoor P, Letendre L, Kumar S, Wolanskyj AP. Prognostic factors and outcomes of adults with hemophagocytic lymphohistiocytosis. Mayo Clin Proc. 2014;89(4):484-492.</w:t>
      </w:r>
      <w:r w:rsidRPr="001A0BFF">
        <w:br/>
        <w:t>doi:10.1016/j.mayocp.2013.12.012</w:t>
      </w:r>
      <w:r w:rsidRPr="001A0BFF">
        <w:br/>
        <w:t>PubMed PMID:24581757</w:t>
      </w:r>
    </w:p>
    <w:p w:rsidR="00E85E82" w:rsidRPr="001A0BFF" w:rsidRDefault="00E85E82" w:rsidP="00E85E82">
      <w:pPr>
        <w:pStyle w:val="Reference"/>
      </w:pPr>
    </w:p>
    <w:p w:rsidR="00E85E82" w:rsidRPr="001A0BFF" w:rsidRDefault="00E85E82" w:rsidP="00E85E82">
      <w:pPr>
        <w:pStyle w:val="Reference"/>
      </w:pPr>
      <w:r w:rsidRPr="001A0BFF">
        <w:t>8. Yu JT, Wang CY, Yang Y, Wang RC, Chang KH, Hwang WL, Teng CL. Lymphoma-associated hemophagocytic lymphohistiocytosis: experience in adults from a single institution. Ann Hematol. 2013;92(11):1529-1536.</w:t>
      </w:r>
      <w:r w:rsidRPr="001A0BFF">
        <w:br/>
        <w:t>doi:10.1007/s00277-013-1784-3</w:t>
      </w:r>
      <w:r w:rsidRPr="001A0BFF">
        <w:br/>
        <w:t>PubMed PMID:23700280</w:t>
      </w:r>
    </w:p>
    <w:p w:rsidR="00E85E82" w:rsidRPr="001A0BFF" w:rsidRDefault="00E85E82" w:rsidP="00E85E82">
      <w:pPr>
        <w:pStyle w:val="Reference"/>
      </w:pPr>
    </w:p>
    <w:p w:rsidR="00E85E82" w:rsidRPr="001A0BFF" w:rsidRDefault="00E85E82" w:rsidP="00E85E82">
      <w:pPr>
        <w:pStyle w:val="Reference"/>
      </w:pPr>
      <w:r w:rsidRPr="001A0BFF">
        <w:t>9. Cattaneo C, Oberti M, Skert C, Passi A, Farina M, Re A, Tozzi P, et al. Adult onset hemophagocytic lymphohistiocytosis prognosis is affected by underlying disease and coexisting viral infection: analysis of a single institution series of 35 patients. Hematol Oncol. 2017;35(4):828-834.</w:t>
      </w:r>
      <w:r w:rsidRPr="001A0BFF">
        <w:br/>
        <w:t>doi:10.1002/hon.2314</w:t>
      </w:r>
      <w:r w:rsidRPr="001A0BFF">
        <w:br/>
        <w:t>PubMed PMID:27255829</w:t>
      </w:r>
    </w:p>
    <w:p w:rsidR="00E85E82" w:rsidRPr="001A0BFF" w:rsidRDefault="00E85E82" w:rsidP="00E85E82">
      <w:pPr>
        <w:pStyle w:val="Reference"/>
      </w:pPr>
    </w:p>
    <w:p w:rsidR="00E85E82" w:rsidRPr="001A0BFF" w:rsidRDefault="00E85E82" w:rsidP="00E85E82">
      <w:pPr>
        <w:pStyle w:val="Reference"/>
      </w:pPr>
      <w:r w:rsidRPr="001A0BFF">
        <w:t>10. Han AR, Lee HR, Park BB, Hwang IG, Park S, Lee SC, Kim K, et al. Lymphoma-associated hemophagocytic syndrome: clinical features and treatment outcome. Ann Hematol. 2007;86(7):493-498.</w:t>
      </w:r>
      <w:r w:rsidRPr="001A0BFF">
        <w:br/>
        <w:t>doi:10.1007/s00277-007-0278-6</w:t>
      </w:r>
      <w:r w:rsidRPr="001A0BFF">
        <w:br/>
        <w:t>PubMed PMID:17347847</w:t>
      </w:r>
    </w:p>
    <w:p w:rsidR="00E85E82" w:rsidRPr="001A0BFF" w:rsidRDefault="00E85E82" w:rsidP="00E85E82">
      <w:pPr>
        <w:pStyle w:val="Reference"/>
      </w:pPr>
    </w:p>
    <w:p w:rsidR="00E85E82" w:rsidRPr="001A0BFF" w:rsidRDefault="00E85E82" w:rsidP="00E85E82">
      <w:pPr>
        <w:pStyle w:val="Reference"/>
      </w:pPr>
      <w:r w:rsidRPr="001A0BFF">
        <w:t>11. Li F, Li P, Zhang R, Yang G, Ji D, Huang X, Xu Q, et al. Identification of clinical features of lymphoma-associated hemophagocytic syndrome (LAHS): an analysis of 69 patients with hemophagocytic syndrome from a single-center in central region of China. Med Oncol. 2014;31(4):902.</w:t>
      </w:r>
      <w:r w:rsidRPr="001A0BFF">
        <w:br/>
        <w:t>doi:10.1007/s12032-014-0902-y</w:t>
      </w:r>
      <w:r w:rsidRPr="001A0BFF">
        <w:br/>
        <w:t>PubMed PMID:24610542</w:t>
      </w:r>
    </w:p>
    <w:p w:rsidR="00E85E82" w:rsidRDefault="00E85E82"/>
    <w:sectPr w:rsidR="00E85E82" w:rsidSect="0020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203E38"/>
    <w:rsid w:val="00203E38"/>
    <w:rsid w:val="009954F7"/>
    <w:rsid w:val="00E85E82"/>
    <w:rsid w:val="00EF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8"/>
    <w:pPr>
      <w:spacing w:after="0" w:line="240" w:lineRule="auto"/>
    </w:pPr>
    <w:rPr>
      <w:rFonts w:ascii="Times New Roman" w:eastAsia="等线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rsid w:val="00203E38"/>
    <w:pPr>
      <w:spacing w:after="0" w:line="240" w:lineRule="auto"/>
      <w:ind w:left="357" w:hanging="357"/>
    </w:pPr>
    <w:rPr>
      <w:rFonts w:ascii="Times New Roman" w:eastAsia="宋体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2020-07-08T03:10:00Z</dcterms:created>
  <dcterms:modified xsi:type="dcterms:W3CDTF">2020-07-08T03:24:00Z</dcterms:modified>
</cp:coreProperties>
</file>